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32" w:rsidRPr="000B6032" w:rsidRDefault="000B6032" w:rsidP="000B6032">
      <w:pPr>
        <w:spacing w:beforeLines="1" w:afterLines="1"/>
        <w:jc w:val="both"/>
        <w:outlineLvl w:val="1"/>
        <w:rPr>
          <w:rFonts w:ascii="Times" w:hAnsi="Times"/>
          <w:b/>
          <w:sz w:val="36"/>
          <w:szCs w:val="20"/>
          <w:lang w:eastAsia="fr-FR"/>
        </w:rPr>
      </w:pPr>
      <w:r w:rsidRPr="000B6032">
        <w:rPr>
          <w:rFonts w:ascii="Times" w:hAnsi="Times"/>
          <w:b/>
          <w:color w:val="800000"/>
          <w:sz w:val="36"/>
          <w:szCs w:val="20"/>
          <w:lang w:eastAsia="fr-FR"/>
        </w:rPr>
        <w:t xml:space="preserve">Konvention zur Beseitigung jeder form von Diskriminierung der Frau </w:t>
      </w:r>
    </w:p>
    <w:p w:rsidR="000B6032" w:rsidRPr="000B6032" w:rsidRDefault="000B6032" w:rsidP="000B6032">
      <w:pPr>
        <w:spacing w:beforeLines="1" w:afterLines="1"/>
        <w:outlineLvl w:val="2"/>
        <w:rPr>
          <w:rFonts w:ascii="Times" w:hAnsi="Times"/>
          <w:b/>
          <w:sz w:val="27"/>
          <w:szCs w:val="20"/>
          <w:lang w:eastAsia="fr-FR"/>
        </w:rPr>
      </w:pPr>
      <w:r w:rsidRPr="000B6032">
        <w:rPr>
          <w:rFonts w:ascii="Times" w:hAnsi="Times"/>
          <w:b/>
          <w:color w:val="800000"/>
          <w:sz w:val="27"/>
          <w:szCs w:val="20"/>
          <w:lang w:eastAsia="fr-FR"/>
        </w:rPr>
        <w:t>18. Dezember 1979 (Volltext)</w:t>
      </w:r>
      <w:r w:rsidRPr="000B6032">
        <w:rPr>
          <w:rFonts w:ascii="Times" w:hAnsi="Times"/>
          <w:b/>
          <w:color w:val="800000"/>
          <w:sz w:val="27"/>
          <w:szCs w:val="20"/>
          <w:lang w:eastAsia="fr-FR"/>
        </w:rPr>
        <w:br/>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Präambel</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dieser Konvention,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im Hinblick darauf, dass die Satzung der Vereinten Nationen den Glauben an die Grundrechte des Menschen, an Würde und Wert der menschlichen Person und an die Gleichberechtigung von Mann und Frau bekräftigt,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im Hinblick darauf, dass die Allgemeine Erklärung der Menschenrechte den Grundsatz der Unzulässigkeit der Diskriminierung aufstellt und verkündet, dass alle Menschen frei und gleich an Würde und Rechten geboren sind und jeder Mensch ohne irgendeinen Unterschied, einschließlich eines Unterschieds aufgrund des Geschlechts, Anspruch auf die in dieser Erklärung verkündeten Rechte und Freiheiten hat,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im Hinblick darauf, dass die Vertragsstaaten der Internationalen Menschenrechtspakte verpflichtet sind, die Gleichberechtigung von Mann und Frau bei der Ausübung aller wirtschaftlichen, sozialen, kulturellen, staatsbürgerlichen und politischen Rechte zu gewährleisten,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in Anbetracht der unter der Schirmherrschaft der Vereinten Nationen und Sonderorganisationen abgeschlossenen internationalen Konventionen zur Förderung der Gleichberechtigung von Mann und Frau,</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ferner im Hinblick auf die Resolutionen, Erklärungen und Empfehlungen der Vereinten Nationen und der Sonderorganisationen zur Förderung der Gleichberechtigung von Mann und Frau,</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jedoch besorgt darüber, dass die Frau trotz dieser verschiedenen Instrumente noch immer weitgehend diskriminiert wird,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unter Hinweis darauf, dass die Diskriminierung der Frau die Grundsätze der Gleichberechtigung und der Achtung der Menschenwürde verletzt, die Frauen daran hindert, unter den gleichen Voraussetzungen wie Männer am politischen, sozialen, wirtschaftlichen und kulturellen Leben ihres Landes teilzunehmen, das Wachstum des Wohlstandes von Gesellschaft und Familie hemmt und der Frau die volle Entfaltung ihrer Fähigkeiten im Dienste ihres Landes und der Menschheit erschwert,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besorgt darüber, dass dort, wo Armut herrscht, Frauen beim Zugang zu Nahrungsmitteln, Gesundheitseinrichtungen, Bildung, Ausbildung und Beschäftigungsmöglichkeiten sowie bei der Befriedigung sonstiger Bedürfnisse am ehesten benachteiligt werden,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in der Überzeugung, dass die Errichtung der neuen Weltwirtschaftsordnung auf der Grundlage von Gleichheit und Gerechtigkeit wesentlich zur Förderung der Gleichberechtigung von Mann und Frau beitragen wird,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nachdrücklich darauf hinweisend, dass die Beseitigung der Apartheid, aller Formen von Rassismus, rassischer Diskriminierung, Kolonialismus, Aggression, ausländischer Besetzung und Fremdherrschaft sowie von Einmischung in die inneren Angelegenheiten anderer Staaten unerlässlich für die volle Ausübung der Rechte von Mann und Frau ist,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mit der Erklärung, dass die Festigung des Weltfriedens und der internationalen Sicherheit, die internationale Entspannung, die gegenseitige Zusammenarbeit aller Staaten ungeachtet ihrer Gesellschafts- und Wirtschaftsordnung, die allgemeine und vollständige Abrüstung - insbesondere die nukleare Abrüstung unter strenger und wirksamer internationaler Kontrolle-, die Durchsetzung der Grundsätze der Gerechtigkeit, der Gleichberechtigung und des beiderseitigen Nutzens in den Beziehungen der Länder untereinander sowie die Verwirklichung des Rechts der unter Fremd- und Kolonialherrschaft sowie ausländischer Besetzung lebenden Völker auf Selbstbestimmung und Unabhängigkeit sowie auf Achtung ihrer nationalen Souveränität und territorialen Integrität den sozialen Fortschritt und die soziale Entwicklung fördern und somit zur Erreichung der vollen Gleichberechtigung von Mann und Frau beitragen,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in der Überzeugung, dass die größtmögliche und gleichberechtigte Mitwirkung der Frau in allen Bereichen Voraussetzung für die vollständige Entwicklung eines Landes, für das Wohlergehen in der Welt und für die Sache des Friedens ist,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eingedenk des bedeutenden, bisher noch nicht voll anerkannten Beitrags der Frau zum Wohlergehen der Familie und zur Gesellschaftsentwicklung, der sozialen Bedeutung der Mutterschaft und der Aufgaben beider Elternteile im Rahmen von Familie und Kindererziehung sowie in dem Bewusstsein, dass die Rolle der Frau bei der Fortpflanzung kein Grund zur Diskriminierung sein dürfe und dass die Erziehung der Kinder eine Aufgabe ist, die sich Männer und Frauen und die gesamte Gesellschaft teilen müssen,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in dem Bewusstsein, dass sich die traditionellen Rollen von Mann und Frau in der Gesellschaft und Familie wandeln müssen, wenn es zur vollen Gleichberechtigung von Mann und Frau kommen soll,</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entschlossen, die in der Erklärung über die Beseitigung der Diskriminierung der Frau niedergelegten Grundsätze zu verwirklichen und zu diesem Zwecke alle zur Beseitigung irgendeiner Form und Erscheinungsweise dieser Art von Diskriminierung erforderlichen Maßnahmen zu verabschieden,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sind wie folgt übereingekommen: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Teil I</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In dieser Konvention bezeichnet der Ausdruck „Diskriminierung der Frau“ jede auf Grund des Geschlechts vorgenommene Unterscheidung, Ausschließung oder Beschränkung, die zum Ziel oder zur Folge hat, dass die von der Grundlage der Gleichberechtigung von Mann und Frau ausgehende Anerkennung, Inanspruchnahme oder Ausübung der Menschenrechte und Grundfreiheiten der Frau - gleich, welchen Familienstands - auf politischem, wirtschaftlichem, sozialem, kulturellem, staatsbürgerlichem oder anderem Gebiet beeinträchtigt oder vereitelt wird.</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verurteilen jede Form von Diskriminierung der Frau, kommen überein, mit allen geeigneten Mitteln unverzüglich eine Politik der Beseitigung der Diskriminierung der Frau zu verfolgen und verpflichten sich zu diesem Zweck :</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den Grundsatz der Gleichberechtigung von Mann und Frau in ihre Verfassung oder in andere in Frage kommende Gesetze aufzunehmen, sofern sie dies noch nicht getan haben, und durch gesetzgeberische und sonstige Maßnahmen für die tatsächliche Verwirklichung dieses Grundsatzes zu sorgen;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durch geeignete gesetzgeberische und sonstige Maßnahmen, gegebenenfalls auch Sanktionen, jede Diskriminierung der Frau zu verbieten;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den gesetzlichen Schutz der Rechte der Frau auf der Grundlage der Gleichberechtigung mit dem Mann zu gewährleisten und die Frau durch die zuständigen nationalen Gerichte und sonstigen öffentlichen Einrichtungen wirksam vor jeder diskriminierenden Handlung zu schützen;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 die Frau diskriminierende Handlungen oder Praktiken zu unterlassen und dafür zu sorgen, dass alle staatlichen Behörden und öffentlichen Einrichtungen im Einklang mit dieser Verpflichtung handeln;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e) alle geeigneten Maßnahmen zur Beseitigung der Diskriminierung der Frau durch jedwede Personen, Organisationen oder Unternehmen zu ergreifen;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f) alle geeigneten Maßnahmen, einschließlich der Verabschiedung von Rechtsvorschriften, zur Abänderung oder zur Aufhebung aller Gesetze, Vorschriften, Bräuche und Praktiken zu treffen, die eine Diskriminierung der Frau darstellen;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g) alle strafrechtlichen Bestimmungen aufzuheben, die eine Diskriminierung der Frau darstellen.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3</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treffen auf allen Gebieten, insbesondere auf politischem, sozialem, wirtschaftlichem und kulturellem Gebiet, alle geeigneten Maßnahmen, einschließlich der Verabschiedung von Rechtsvorschriften, zur Sicherung der uneingeschränkten Entfaltung und Förderung der Frau, damit gewährleistet wird, dass alle Frauen die Menschenrechte und Grundfreiheiten gleichberechtigt ausüben und genießen können.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4</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Vorübergehende Sondermaßnahmen der Vertragsstaaten zur beschleunigten Herbeiführung der De-facto-Gleichberechtigung von Mann und Frau gelten nicht als Diskriminierung im Sinne dieser Konvention, dürfen aber keinesfalls die Beibehaltung ungleicher oder gesonderter Maßstäbe zur Folge haben; diese Maßnahmen sind aufzuheben, sobald die Ziele der Chancengleichheit und Gleichbehandlung erreicht sind.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Sondermaßnahmen der Vertragsstaaten zum Schutz der Mutterschaft, einschließlich der in dieser Konvention angeführten Maßnahmen, gelten nicht als Diskriminierung.</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5</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treffen alle geeigneten Maßnahmen :</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die einen Wandel in den sozialen und kulturellen Verhaltensmustern von Mann und Frau bewirken und so zur Beseitigung von Vorurteilen sowie von herkömmlichen und allen sonstigen auf der Vorstellung von der Unterlegenheit oder Überlegenheit des einen oder des anderen Geschlechts oder der stereotypen Rollenverteilung von Mann und Frau beruhenden Praktiken führen;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die sicherstellen, dass die Erziehung in der Familie zu einem wirklichen</w:t>
      </w:r>
      <w:r w:rsidRPr="000B6032">
        <w:rPr>
          <w:rFonts w:ascii="Times" w:hAnsi="Times" w:cs="Times New Roman"/>
          <w:sz w:val="20"/>
          <w:szCs w:val="20"/>
          <w:lang w:eastAsia="fr-FR"/>
        </w:rPr>
        <w:br/>
        <w:t>Verständnis der Mutterschaft als einer sozialen Aufgabe und zur Anerkennung der gemeinsamen Verantwortung von Mann und Frau für die Erziehung und Entwicklung ihrer Kinder beiträgt, wobei das Interesse der Kinder in jedem Fall oberstes Gebot ist.</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6</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treffen alle geeigneten Maßnahmen, einschließlich der Verabschiedung von Rechtsvorschriften, zur Unterdrückung jeder Form des Frauenhandels und der Ausbeutung der Prostitution von Frauen.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Teil II</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7</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treffen alle geeigneten Maßnahmen zur Beseitigung der Diskriminierung der Frau im politischen und öffentlichen Leben ihres Landes und gewährleisten allen Frauen insbesondere in gleicher Weise wie den Männern :</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das Recht auf Stimmabgabe bei allen Wahlen und Volksabstimmungen und auf Wählbarkeit in alle öffentlich gewählten Gremien;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das Recht, an der Ausarbeitung und der Durchführung der Regierungspolitik mitzuwirken sowie das Recht auf Zugang zu einem öffentlichen Amt und auf Bekleidung jeder öffentlichen Funktion auf allen Ebenen staatlicher Verwaltung;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das Recht auf Mitarbeit in nichtstaatlichen Organisationen und Vereinigungen, die sich mit dem öffentlichen und politischen Leben des Landes befassen.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8</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treffen alle geeigneten Maßnahmen um sicherzustellen, dass Frauen unter den gleichen Bedingungen wie Männer und ohne jedwede Diskriminierung die Möglichkeit haben, ihre Staaten auf internationaler Ebene zu vertreten und an der Arbeit internationaler Organisationen mitzuwirken.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9</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gewähren Frauen die gleichen Rechte wie Männern in bezug auf Erwerb, Wechsel oder Beibehaltung ihrer Staatsangehörigkeit. Insbesondere stellen sie sicher, dass sich weder durch eine Eheschließung mit einem Ausländer noch durch Wechsel der Staatsangehörigkeit des Mannes im Laufe der Ehe automatisch die Staatsangehörigkeit der Frau ändert, diese dadurch staatenlos wird oder ihr die Staatsangehörigkeit ihres Mannes aufgezwungen wird.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Vertragsstaaten gewähren Frauen die gleichen Rechte wie Männern in bezug auf die Staatsangehörigkeit ihrer Kinder.</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Teil III</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10</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treffen alle geeigneten Maßnahmen zur Beseitigung der Diskriminierung der Frau, um ihr im Bildungsbereich die gleichen Rechte wie Männern zu gewährleisten und auf der Grundlage der Gleichberechtigung von Mann und Frau insbesondere folgendes sicherzustellen: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gleiche Bedingungen bei der Berufsberatung, bei der Zulassung zum Unterricht und beim Erwerb von Zeugnissen an Bildungseinrichtungen jeder Art sowohl in ländlichen als auch in städtischen Gebieten; diese Gleichberechtigung gilt für die vorschulische, allgemeinbildende, fachliche, berufliche und die höhere fachliche Ausbildung sowie für jede Art der Berufsausbildung;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Zulassung zu denselben Studienprogrammen und Prüfungen sowie Lehrkräften mit gleichwertigen Qualifikationen und zu Schulanlagen und Ausstattungen derselben Qualität;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Beseitigung jeder Art stereotyper Rollenauffassung von Mann und Frau auf allen Erziehungsebenen und in allen Unterrichtsformen durch Förderung der Koedukation und sonstiger Erziehungsformen, die zur Erreichung dieses Zieles beitragen, insbesondere auch durch Überarbeitung von Lehrbüchern und Lehrplänen und durch Anpassung der Lehrmethoden;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 Chancengleichheit bei der Erlangung von Stipendien und sonstigen Ausbildungsbeihilfen;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e) gleiche Möglichkeiten des Zugangs zu Fortbildungsprogrammen, darunter Programmen für erwachsene Analphabeten und zur funktionellen Alphabetisierung, insbesondere zur möglichst baldigen Verringerung jedes Bildungsgefälles zwischen Mann und Frau;</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f) VerringerungdesProzentsatzesdervorzeitigenStudienabgängebei Studentinnen und Veranstaltung von Programmen für Mädchen und Frauen, die vorzeitig aus der Schule ausgetreten sind;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g) gleiche Möglichkeiten zur aktiven Teilnahme an Sport und Leibesübungen;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h) Zugang zu spezifischen Informationen im Erziehungs- und Bildungsbereich, die zur Gewährleistung der Gesundheit und des Wohlergehens der Familie beitragen, einschließlich Informationen und Beratungsdiensten im Rahmen der Familienplanung.</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11</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treffen alle geeigneten Maßnahmen zur Beseitigung der Diskriminierung der Frau auf dem Arbeitsmarkt, um der Frau auf der Grundlage der Gleichberechtigung von Mann und Frau gleiche Rechte zu gewährleisten, insbesondere:</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das Recht auf Arbeit als unveräußerliches Recht jedes Menschen;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das Recht auf dieselben Arbeitsmöglichkeiten einschließlich der Anwendung derselben Auswahlkriterien bei der Einstellung;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das Recht auf freie Berufswahl und freie Wahl des Arbeitsplatzes, das Recht auf Beförderung, Arbeitsplatzsicherheit sowie alle Leistungen und Arbeitsbedingungen sowie das Recht auf Berufsausbildung und Weiterbildung, einschließlich Lehrlingsausbildung, höhere Berufsausbildung und ständige Weiterbildung;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 das Recht auf gleiches Entgelt, einschließlich sonstiger Leistungen, und auf Gleichbehandlung in bezug auf gleichwertige Arbeit sowie Gleichbehandlung bei der Bewertung der Arbeitsqualität;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e) das Recht auf soziale Sicherheit, insbesondere auf Leistungen bei Eintritt in den Ruhestand sowie im Fall von Arbeitslosigkeit, Krankheit, Invalidität und Alter oder sonstiger Arbeitsunfähigkeit, und ferner das Recht auf bezahlten Urlaub;</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f) das Recht auf SchutzderGesundheit und auf Sicherheit am Arbeitsplatz, einschließlich des Schutzes der Fortpflanzungsfunktion.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Um eine Diskriminierung der Frau aus Gründen der Eheschließung oder Mutterschaft zu verhindern und ihr ein wirksames Recht auf Arbeit zu gewährleisten, treffen die Vertragsstaaten geeignete Maßnahmen :</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zum - mit der Androhung von Sanktionen verbundenen - Verbot einer Entlassung oder Kündigung wegen Schwangerschaft oder Mutterschaftsurlaub sowie einer Diskriminierung aufgrund des Familienstands bei Entlassung oder Kündigung;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Zur Einführung des bezahlten oder mit vergleichbaren Vorteilen verbundenen Mutterschaftsurlaubs ohne Verlust des bisherigen Arbeitsplatzes, der Rechte aufgrund des Dienstalters oder sozialer Zulagen;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Zur Förderung der Bereitstellung der erforderlichen unterstützenden Sozialdienste, die Eltern eine Verbindung von Familienpflichten mit beruflichen Pflichten und mit der Teilnahme am öffentlichen Leben ermöglichen, insbesondere durch die Förderung der Errichtung und des Ausbaus eines Netzes von Einrichtungen zur Kinderbetreuung;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 Zur Gewährung eines besonderen Schutzes für Frauen während der Schwangerschaft bei Beschäftigungsarten, die sich für diese als schädlich erwiesen haben.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3. Rechtsvorschriften zum Schutz der in diesem Artikel erfassten Bereiche werden in regelmäßigen Abständen an Hand der wissenschaftlichen und technischen Erkenntnisse überprüft und erforderlichenfalls geändert, aufgehoben oder erweitert.</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12</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treffen alle geeigneten Maßnahmen zur Beseitigung der Diskriminierung der Frau im Gesundheitswesen, um Frauen zu den gleichen Bedingungen wie Männern Zugang zu den Gesundheitsfürsorgediensten, einschließlich der Dienste im Zusammenhang mit der Familienplanung zu gewährleisten.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Unbeschadet des Abs. 1 sorgen die Vertragsstaaten für angemessene Betreuung während der Schwangerschaft sowie während und nach der Entbindung, wobei diese Betreuung Frauen erforderlichenfalls unentgeltlich zur Verfügung steht, sowie für eine angemessene Ernährung der Frau während der Schwangerschaft und der Stillzeit.</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13</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treffen alle geeigneten Maßnahmen zur Beseitigung der Diskriminierung der Frau in anderen Bereichen des wirtschaftlichen und sozialen Lebens, um Frauen nach dem Gleichheitsgrundsatz dieselben Rechte wie Männern zu gewährleisten, insbesondere:</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das Recht auf Familienbeihilfen;;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das Recht, Bankdarlehen, Hypotheken und andere Finanzkredite aufzunehmen;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das Recht auf Teilnahme an Freizeitbeschäftigungen, Sport und allen Aspekten des kulturellen Lebens.</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14</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berücksichtigen die besonderen Probleme von Frauen auf dem Lande und deren bedeutende Rolle für das wirtschaftliche Überleben ihrer Familien sowie auch ihre Arbeit in nichtmonetären Wirtschaftssektoren, und treffen alle geeigneten Maßnahmen, um dafür zu sorgen, dass die Bestimmungen dieser Konvention auch auf Frauen auf dem Lande Anwendung finden.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Vertragsstaaten treffen alle geeigneten Maßnahmen zur Beseitigung der Diskriminierung der Frauen auf dem Lande, um dafür zu sorgen, dass sie unter den gleichen Bedingungen wie Männer an der ländlichen Entwicklung und an den sich daraus ergebenden Vorteilen teilhaben können, und gewährleisten ihnen insbesondere folgende Rechte:</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Mitwirkung auf allen Ebenen an der Ausarbeitung und Durchführung von Entwicklungsplänen;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Zugang zu angemessenen Einrichtungen der Gesundheitsfürsorge einschließlich Informationen, Beratungsdiensten und Einrichtungen der Familienplanung;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unmittelbaren Anspruch auf Leistungen aus Programmen der sozialen Sicherheit;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 schulische und außerschulische Ausbildung und Bildung jeder Art, einschließlich funktioneller Alphabetisierung, darunter auch die Nutzung aller Gemeinschafts- und Volksbildungseinrichtungen zur Erweiterung ihres Fachwissens;</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e) Organisation von Selbsthilfegruppen und Genossenschaften zur Erlangung wirtschaftlicher Chancengleichheit durch selbständige oder unselbständige Arbeit;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f) TeilnahmeanallenGemeinschaftsaktivitäten;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g) Zugang zu landwirtschaftlichen Krediten und Darlehen, Vermarktungseinrichtungen und geeigneten Technologien sowie Gleichbehandlung im Rahmen von Boden- und Agrarreformen und ländlichen Umsiedlungsaktionen;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h) angemessene Lebensbedingungen, insbesondere im Hinblick auf Wohnung, sanitäre Einrichtungen, Elektrizität und Wasserversorgung sowie Verkehrs- und Nachrichteneinrichtungen.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Teil IV</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15</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stellen die Frau dem Mann vor dem Gesetz gleich.</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Vertragsstaaten gewähren Frauen in zivilrechtlichen Angelegenheiten dieselbe Rechtsfähigkeit wie Männern und geben ihnen dieselbe Gelegenheit zur Ausübung dieser Rechtsfähigkeit. Insbesondere räumen sie Frauen das gleiche Recht ein, Verträge abzuschließen und Vermögen zu verwalten, und gewähren ihnen Gleichbehandlung in allen Stadien gerichtlicher Verfahren.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3. Die Vertragsstaaten kommen überein, dass alle Verträge und alle sonstigen privaten Urkunden jeglicher Art, deren Rechtswirkung die Einschränkung der Rechtsfähigkeit der Frau zum Ziel hat, nichtig sind.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4. Die Vertragsstaaten gewähren Männern und Frauen die gleichen Rechte im Rahmen der Rechtsvorschriften über die Freizügigkeit und freie Wahl ihres Wohnsitzes und Aufenthaltsorts.</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16</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treffen alle geeigneten Maßnahmen zur Beseitigung der Diskriminierung der Frau in allen ehelichen und familiären Angelegenheiten und gewährleisten insbesondere folgende Rechte auf der Grundlage der Gleichheit von Mann und Frau :</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gleiches Recht auf Eheschließung;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gleiches Recht auf freie Wahl des Ehegatten sowie auf Eheschließung nur mit freier und voller Zustimmung;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c) gleiche Rechte und Pflichten in der Ehe und bei deren Auflösung;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 gleiche Rechte und Pflichten als Eltern, ungeachtet ihres Familienstands, in allen ihre Kinder betreffenden Angelegenheiten; in jedem Fall haben die Interessen der Kinder Vorrang;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e) gleiches Recht auf freie und verantwortungsbewusste Entscheidung über die Anzahl und Altersunterschiede ihrer Kinder und auf Zugang zu den zur Ausübung ihrer Rechte erforderlichen Informationen, Bildungseinrichtungen und sonstigen Mitteln;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f) gleicheRechteundPflichteninFragenderVormundschaft,Pflegschaft, Treuhandschaft und Adoption von Kindern oder ähnlicher Einrichtungen, soweit das innerstaatliche Recht derartige Rechtsinstitute kennt; in jedem Fall haben die Interessen der Kinder Vorrang;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g) dieselben persönlichen Rechte der Ehegatten, einschließlich des Rechts auf Wahl des Familiennamens, eines Berufs und einer Beschäftigung;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h) gleiche Rechte beider Ehegatten hinsichtlich Eigentum, Erwerb, Bewirtschaftung, Verwaltung, Nutzung und Verfügung über Vermögen, gleichgültig, ob diese Rechte unentgeltlich oder entgeltlich sind.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Verlobung und Verheiratung eines Kindes hat keine Rechtswirksamkeit; es werden alle erforderlichen Maßnahmen, einschließlich der Erlassung von Rechtsvorschriften, unternommen, um ein Mindestalter für die Ehefähigkeit festzulegen und die Eintragung der Eheschließung in ein offizielles Register zur Pflicht zu machen.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Teil V</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17</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Zur Überprüfung der Fortschritte bei der Durchführung dieser Konvention wird ein Komitee für die Beseitigung der Diskriminierung der Frau eingesetzt (im folgenden als "Komitee" bezeichnet); es besteht zum Zeitpunkt des Inkrafttretens der Konvention aus achtzehn, nach Ratifikation oder nach dem Beitritt des fünfunddreißigsten Vertragsstaates zur Konvention aus dreiundzwanzig Experten von hohem sittlichen Rang und großer Sachkenntnis auf dem von der Konvention erfassten Gebiet. Die Experten werden von den Vertragsstaaten aus ihren Staatsangehörigen ausgewählt und sind in persönlicher Eigenschaft tätig; dabei ist auf eine ausgewogene geographische Verteilung und auf die Vertretung der unterschiedlichen Zivilisationsformen sowie der wichtigsten Rechtssysteme zu achten.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Mitglieder des Komitees werden in geheimer Abstimmung aus einer Liste von Personen gewählt, die von den Vertragsstaaten benannt worden sind. Jeder Vertragsstaat kann einen seiner eigenen Staatsangehörigen nominieren.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3. Die erste Wahl findet sechs Monate nach Inkrafttreten dieser Konvention statt. Spätestens drei Monate vor jeder Wahl fordert der Generalsekretär der Vereinten Nationen die Vertragsstaaten schriftlich auf, binnen zwei Monaten ihre Nominierungen einzureichen. Der Generalsekretär erstellt sodann eine alphabetische Liste aller auf diese Weise nominierten Personen unter Angabe der sie nominierenden Vertragsstaaten und legt sie den Vertragsstaaten vor.</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4. Die Wahl der Mitglieder des Komitees findet auf einer vom Generalsekretär am Sitz der Vereinten Nationen anberaumten Sitzung der Vertragsstaaten statt. In dieser Sitzung, die verhandlungs- und beschlussfähig ist, wenn zwei Drittel der Vertragsstaaten vertreten sind, gelte diejenigen Bewerber als in das Komitee gewählt, welche die höchste Stimmenzahl und die absolute Stimmenmehrheit der anwesenden und abstimmenden Vertreter der Vertragsstaaten auf sich vereinigen.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5. Die Mitglieder des Komitees werden für vier Jahre gewählt. Jedoch läuft die Amtszeit von neun der bei der ersten Wahl gewählten Mitglieder nach zwei Jahren ab; unmittelbar nach der ersten Wahl werden die Namen dieser neun Mitglieder vom Vorsitzenden des Komitees durch das Los bestimmt.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6.Die Wahl der fünf zusätzlichen Mitglieder des Komitees findet gemäß den Bestimmungen der Absätze 2, 3 und 4 statt, wenn fünfunddreißig Staaten die Konvention ratifiziert haben oder ihr beigetreten sind. Die Amtszeit zweier der bei dieser Gelegenheit gewählten zusätzlichen Mitglieder läuft nach zwei Jahren ab; die Namen dieser beiden Mitglieder werden vom Vorsitzenden des Komitees durch das Los bestimmt.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7. Zur Besetzung eines unerwartet freiwerdenden Sitzes nominiert der Vertragsstaat, dessen Experte aufgehört hat, die Funktion eines Komiteemitgliedes auszuüben, mit der Zustimmung des Komitees einen anderen Experten seiner Nationalität.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8. Die Mitglieder des Komitees erhalten mit Zustimmung der Generalversammlung Bezüge aus Mitteln der Vereinten Nationen; die näheren Einzelheiten werden von der Versammlung unter Berücksichtigung der Bedeutung festgesetzt, die den Aufgaben des Komitees zukommt.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9. Der Generalsekretär der Vereinten Nationen stellt dem Komitee das Personal und die Einrichtungen zur Verfügung, deren dieses zur wirksamen Wahrnehmung seiner Aufgaben nach dieser Konvention bedarf.</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18</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 Vertragsstaaten verpflichten sich, dem Generalsekretär der Vereinten Nationen zur Behandlung durch das Komitee einen Bericht über die zur Durchführung dieser Konvention getroffenen gesetzgeberischen, gerichtlichen Verwaltungs- und sonstigen Maßnahmen und über die diesbezüglichen Fortschritte vorzulegen, und zwar :</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innerhalb eines Jahres nach Inkrafttreten der Konvention für den betreffenden Staat und</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danach mindestens alle vier Jahre und sooft der Ausschuss darum ersucht.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Berichte können Umstände und Schwierigkeiten aufzeigen, die das Ausmaß der Erfüllung der in dieser Konvention eingegangenen Verpflichtungen beeinflussen.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19</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Das Komitee gibt sich eine Geschäftsordnung.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Das Komitee wählt seine Funktionäre für zwei Jahre.</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20</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Das Komitee tritt in der Regel einmal im Jahr für höchstens zwei Wochen zur Behandlung der gemäß Artikel 18 dieser Konvention vorgelegten Berichte zusammen.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Sitzungen des Komitees finden in der Regel am Sitz der Vereinten Nationen oder an einen anderen vom Ausschuss zu bestimmenden geeigneten Ort statt.</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21</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Das Komitee legt der Generalversammlung der Vereinten Nationen im Wege des Wirtschaft- und Sozialrates einen jährlichen Tätigkeitsbericht vor und kann auf Grund seiner Prüfung der Berichte und Informationen der Vertragsstaaten Vorschläge und allgemeine Empfehlungen abgeben. Diese Vorschläge und allgemeinen Empfehlungen sind zusammen mit etwaigen Stellungnahmen der Vertragsstaaten in den Bericht des Komitees aufzunehmen.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Der Generalsekretär übermittelt die Berichte des Komitees an die Kommission für die Rechtsstellung der Frau zur Kenntnisnahme.</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22</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Sonderorganisationen haben das Recht auf Teilnahme, wenn die Durchführung von Bestimmungen dieser Konvention behandelt wird, die in ihr Aufgabengebiet fallen. Das Komitee kann die Sonderorganisationen einladen, Berichte über Durchführung dieser Konvention auf Gebieten vorzulegen, die in deren Tätigkeitsbereich fallen.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Teil VI</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23</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Diese Konvention lässt zur Herbeiführung der Gleichberechtigung von Mann und Frau geeignetere Bestimmungen unberührt, die enthalten sind :</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a) in den Rechtsvorschriften eines Vertragsstaates oder</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b) in sonstigen für diesen Staat geltenden Konventionen, Verträgen oder Abkommen.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24</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 Vertragsstaaten verpflichten sich, auf nationaler Ebene alle erforderlichen Maßnahmen zu treffen, um die volle Ausübung der in dieser Konvention anerkannten Rechte zu gewährleisten.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25</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Diese Konvention liegt für alle Staaten zur Unterzeichnung auf.</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Der Generalsekretär der Vereinten Nationen ist Depositär dieser Konvention.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3. Diese Konvention bedarf der Ratifikation. Die Ratifikationsurkunden sind beim Generalsekretär der Vereinten Nationen zu hinterlegen.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4. Diese Konvention liegt für alle Staaten zum Beitritt auf. Der Beitritt erfolgt durch Hinterlegung einer Beitrittsurkunde beim Generalsekretär der Vereinten Nationen.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26</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Ein Antrag auf Revision dieser Konvention kann jederzeit von einem Vertragsstaat durch schriftliche Mitteilung an den Generalsekretär gestellt werden.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Die Generalversammlung der Vereinten Nationen entscheidet über die Schritte, die gegebenenfalls auf einen solchen Antrag hin zu unternehmen sind.</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27</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Diese Konvention tritt am dreißigsten Tag nach der Hinterlegung der zwanzigsten Ratifikations- oder Beitrittsurkunde beim Generalsekretär der Vereinten Nationen in Kraft.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Für jeden Staat, der nach Hinterlegung der zwanzigsten Ratifikations- oder Beitrittsurkunde diese Konvention ratifiziert oder ihr beitritt, tritt die Konvention am dreißigsten Tag nach Hinterlegung seiner eigenen Ratifikations- oder Beitrittsurkunde in Kraft.</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28</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 Der Generalsekretär der Vereinten Nationen nimmt schriftliche Vorbehalte, die ein Staat bei der Ratifikation oder beim Beitritt macht, entgegen und leitet sie allen Staaten zu.</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Mit dem Ziel und Zweck dieser Konvention unvereinbare Vorbehalte sind unzulässig.</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3. Vorbehalte können jederzeit durch eine diesbezügliche Mitteilung an den Generalsekretär der Vereinten Nationen zurückgenommen werden, der sodann alle Staaten davon in Kenntnis setzt. Diese Mitteilung wird mit dem Tag ihres Eingangs wirksam.</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29</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1.Entsteht zwischen zwei oder mehreren Vertragsstaaten über die Auslegung oder Anwendung dieser Konvention eine Streitfrage, die nicht auf dem Verhandlungsweg beigelegt wird, so kann sie auf Verlangen einer Partei zur Schlichtung vorgelegt werden. Wenn sich die Parteien innerhalb von sechs Monaten vom Zeitpunkt des Schlichtungsantrages nicht über die Form des Schlichtungsverfahrens einigen können, kann jede Partei den Streitfall dem Internationalen Gerichtshof vorlegen, indem sie einen mit dessen Satzung übereinstimmenden Antrag stellt.</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2. Jeder Vertragsstaat kann zum Zeitpunkt der Unterzeichnung oder Ratifikation dieser Konvention oder seines Beitritts zu dieser erklären, dass er die Bestimmungen des Absatz 1 für sich nicht verbindlich erachtet. Die anderen Vertragsstaaten sind gegenüber einem Staat, der einen derartigen Vorbehalt macht, nicht an die in diesem Absatz enthaltenen Bestimmungen gebunden.</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3. Ein Vertragsstaat kann einen Vorbehalt gemäß Absatz 2 jederzeit durch Mitteilung an den Generalsekretär der Vereinten Nationen zurücknehmen.</w:t>
      </w:r>
    </w:p>
    <w:p w:rsidR="000B6032" w:rsidRPr="000B6032" w:rsidRDefault="000B6032" w:rsidP="000B6032">
      <w:pPr>
        <w:spacing w:beforeLines="1" w:afterLines="1"/>
        <w:jc w:val="both"/>
        <w:outlineLvl w:val="2"/>
        <w:rPr>
          <w:rFonts w:ascii="Times" w:hAnsi="Times"/>
          <w:b/>
          <w:sz w:val="27"/>
          <w:szCs w:val="20"/>
          <w:lang w:eastAsia="fr-FR"/>
        </w:rPr>
      </w:pPr>
      <w:r w:rsidRPr="000B6032">
        <w:rPr>
          <w:rFonts w:ascii="Times" w:hAnsi="Times"/>
          <w:b/>
          <w:color w:val="000080"/>
          <w:sz w:val="27"/>
          <w:szCs w:val="20"/>
          <w:lang w:eastAsia="fr-FR"/>
        </w:rPr>
        <w:t>Artikel 30</w:t>
      </w:r>
    </w:p>
    <w:p w:rsidR="000B6032" w:rsidRPr="000B6032" w:rsidRDefault="000B6032" w:rsidP="000B6032">
      <w:pPr>
        <w:spacing w:beforeLines="1" w:afterLines="1"/>
        <w:jc w:val="both"/>
        <w:rPr>
          <w:rFonts w:ascii="Times" w:hAnsi="Times" w:cs="Times New Roman"/>
          <w:sz w:val="20"/>
          <w:szCs w:val="20"/>
          <w:lang w:eastAsia="fr-FR"/>
        </w:rPr>
      </w:pPr>
      <w:r w:rsidRPr="000B6032">
        <w:rPr>
          <w:rFonts w:ascii="Times" w:hAnsi="Times" w:cs="Times New Roman"/>
          <w:sz w:val="20"/>
          <w:szCs w:val="20"/>
          <w:lang w:eastAsia="fr-FR"/>
        </w:rPr>
        <w:t>Diese Konvention, deren arabischer, chinesischer, englischer, französischer, russischer und spanischer Wortlaut gleichermaßen authentisch ist, wird beim Generalsekretär der Vereinten Nationen hinterlegt.</w:t>
      </w:r>
    </w:p>
    <w:p w:rsidR="00987249" w:rsidRDefault="000B6032" w:rsidP="000B6032">
      <w:pPr>
        <w:jc w:val="both"/>
      </w:pPr>
    </w:p>
    <w:sectPr w:rsidR="00987249" w:rsidSect="00BB6AAD">
      <w:pgSz w:w="11900" w:h="16840"/>
      <w:pgMar w:top="1418" w:right="845" w:bottom="1418" w:left="851"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6032"/>
    <w:rsid w:val="000B603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49"/>
  </w:style>
  <w:style w:type="paragraph" w:styleId="Titre2">
    <w:name w:val="heading 2"/>
    <w:basedOn w:val="Normal"/>
    <w:link w:val="Titre2Car"/>
    <w:uiPriority w:val="9"/>
    <w:rsid w:val="000B6032"/>
    <w:pPr>
      <w:spacing w:beforeLines="1" w:afterLines="1"/>
      <w:outlineLvl w:val="1"/>
    </w:pPr>
    <w:rPr>
      <w:rFonts w:ascii="Times" w:hAnsi="Times"/>
      <w:b/>
      <w:sz w:val="36"/>
      <w:szCs w:val="20"/>
      <w:lang w:eastAsia="fr-FR"/>
    </w:rPr>
  </w:style>
  <w:style w:type="paragraph" w:styleId="Titre3">
    <w:name w:val="heading 3"/>
    <w:basedOn w:val="Normal"/>
    <w:link w:val="Titre3Car"/>
    <w:uiPriority w:val="9"/>
    <w:rsid w:val="000B6032"/>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0B6032"/>
    <w:rPr>
      <w:rFonts w:ascii="Times" w:hAnsi="Times"/>
      <w:b/>
      <w:sz w:val="36"/>
      <w:szCs w:val="20"/>
      <w:lang w:eastAsia="fr-FR"/>
    </w:rPr>
  </w:style>
  <w:style w:type="character" w:customStyle="1" w:styleId="Titre3Car">
    <w:name w:val="Titre 3 Car"/>
    <w:basedOn w:val="Policepardfaut"/>
    <w:link w:val="Titre3"/>
    <w:uiPriority w:val="9"/>
    <w:rsid w:val="000B6032"/>
    <w:rPr>
      <w:rFonts w:ascii="Times" w:hAnsi="Times"/>
      <w:b/>
      <w:sz w:val="27"/>
      <w:szCs w:val="20"/>
      <w:lang w:eastAsia="fr-FR"/>
    </w:rPr>
  </w:style>
  <w:style w:type="character" w:styleId="Lienhypertexte">
    <w:name w:val="Hyperlink"/>
    <w:basedOn w:val="Policepardfaut"/>
    <w:uiPriority w:val="99"/>
    <w:rsid w:val="000B6032"/>
    <w:rPr>
      <w:color w:val="0000FF"/>
      <w:u w:val="single"/>
    </w:rPr>
  </w:style>
  <w:style w:type="character" w:styleId="Lienhypertextesuivi">
    <w:name w:val="FollowedHyperlink"/>
    <w:basedOn w:val="Policepardfaut"/>
    <w:uiPriority w:val="99"/>
    <w:rsid w:val="000B6032"/>
    <w:rPr>
      <w:color w:val="0000FF"/>
      <w:u w:val="single"/>
    </w:rPr>
  </w:style>
  <w:style w:type="paragraph" w:styleId="NormalWeb">
    <w:name w:val="Normal (Web)"/>
    <w:basedOn w:val="Normal"/>
    <w:uiPriority w:val="99"/>
    <w:rsid w:val="000B6032"/>
    <w:pPr>
      <w:spacing w:beforeLines="1" w:afterLines="1"/>
    </w:pPr>
    <w:rPr>
      <w:rFonts w:ascii="Times" w:hAnsi="Times" w:cs="Times New Roman"/>
      <w:sz w:val="20"/>
      <w:szCs w:val="20"/>
      <w:lang w:eastAsia="fr-FR"/>
    </w:rPr>
  </w:style>
  <w:style w:type="character" w:styleId="lev">
    <w:name w:val="Strong"/>
    <w:basedOn w:val="Policepardfaut"/>
    <w:uiPriority w:val="22"/>
    <w:rsid w:val="000B6032"/>
    <w:rPr>
      <w:b/>
    </w:rPr>
  </w:style>
</w:styles>
</file>

<file path=word/webSettings.xml><?xml version="1.0" encoding="utf-8"?>
<w:webSettings xmlns:r="http://schemas.openxmlformats.org/officeDocument/2006/relationships" xmlns:w="http://schemas.openxmlformats.org/wordprocessingml/2006/main">
  <w:divs>
    <w:div w:id="1842619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4329</Words>
  <Characters>24677</Characters>
  <Application>Microsoft Macintosh Word</Application>
  <DocSecurity>0</DocSecurity>
  <Lines>205</Lines>
  <Paragraphs>49</Paragraphs>
  <ScaleCrop>false</ScaleCrop>
  <Company>Faculté de droit Tours</Company>
  <LinksUpToDate>false</LinksUpToDate>
  <CharactersWithSpaces>30305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BERTRAND</dc:creator>
  <cp:keywords/>
  <cp:lastModifiedBy>Marie BERTRAND</cp:lastModifiedBy>
  <cp:revision>1</cp:revision>
  <dcterms:created xsi:type="dcterms:W3CDTF">2013-09-03T09:07:00Z</dcterms:created>
  <dcterms:modified xsi:type="dcterms:W3CDTF">2013-09-03T09:07:00Z</dcterms:modified>
</cp:coreProperties>
</file>