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32B" w:rsidRPr="00AD232B" w:rsidRDefault="00AD232B" w:rsidP="00AD232B">
      <w:pPr>
        <w:shd w:val="clear" w:color="auto" w:fill="FBFAF6"/>
        <w:spacing w:after="150" w:line="288" w:lineRule="atLeast"/>
        <w:rPr>
          <w:rFonts w:ascii="Times New Roman" w:hAnsi="Times New Roman" w:cs="Times New Roman"/>
          <w:color w:val="555555"/>
        </w:rPr>
      </w:pPr>
    </w:p>
    <w:tbl>
      <w:tblPr>
        <w:tblW w:w="0" w:type="auto"/>
        <w:tblLook w:val="04A0" w:firstRow="1" w:lastRow="0" w:firstColumn="1" w:lastColumn="0" w:noHBand="0" w:noVBand="1"/>
      </w:tblPr>
      <w:tblGrid>
        <w:gridCol w:w="9206"/>
      </w:tblGrid>
      <w:tr w:rsidR="00AD232B" w:rsidRPr="00BE2ACD" w:rsidTr="00AD232B">
        <w:tc>
          <w:tcPr>
            <w:tcW w:w="9206" w:type="dxa"/>
          </w:tcPr>
          <w:p w:rsidR="00BE2ACD" w:rsidRPr="00BE2ACD" w:rsidRDefault="00BE2ACD" w:rsidP="00AD232B">
            <w:pPr>
              <w:shd w:val="clear" w:color="auto" w:fill="FBFAF6"/>
              <w:spacing w:after="150" w:line="288" w:lineRule="atLeast"/>
              <w:rPr>
                <w:rFonts w:ascii="Times New Roman" w:hAnsi="Times New Roman" w:cs="Times New Roman"/>
                <w:bCs/>
                <w:color w:val="F79646" w:themeColor="accent6"/>
                <w:sz w:val="32"/>
                <w:szCs w:val="32"/>
              </w:rPr>
            </w:pPr>
            <w:r w:rsidRPr="00BE2ACD">
              <w:rPr>
                <w:rFonts w:ascii="Times New Roman" w:hAnsi="Times New Roman" w:cs="Times New Roman"/>
                <w:bCs/>
                <w:color w:val="F79646" w:themeColor="accent6"/>
                <w:sz w:val="32"/>
                <w:szCs w:val="32"/>
              </w:rPr>
              <w:t xml:space="preserve">Protocolo I adicional a los Convenios de Ginebra de 1949 relativo </w:t>
            </w:r>
            <w:proofErr w:type="gramStart"/>
            <w:r w:rsidRPr="00BE2ACD">
              <w:rPr>
                <w:rFonts w:ascii="Times New Roman" w:hAnsi="Times New Roman" w:cs="Times New Roman"/>
                <w:bCs/>
                <w:color w:val="F79646" w:themeColor="accent6"/>
                <w:sz w:val="32"/>
                <w:szCs w:val="32"/>
              </w:rPr>
              <w:t>a</w:t>
            </w:r>
            <w:proofErr w:type="gramEnd"/>
            <w:r w:rsidRPr="00BE2ACD">
              <w:rPr>
                <w:rFonts w:ascii="Times New Roman" w:hAnsi="Times New Roman" w:cs="Times New Roman"/>
                <w:bCs/>
                <w:color w:val="F79646" w:themeColor="accent6"/>
                <w:sz w:val="32"/>
                <w:szCs w:val="32"/>
              </w:rPr>
              <w:t xml:space="preserve"> la protección de las víctimas de los conflictos armados internacionales, 1977</w:t>
            </w:r>
            <w:bookmarkStart w:id="0" w:name="_GoBack"/>
            <w:bookmarkEnd w:id="0"/>
          </w:p>
          <w:p w:rsidR="00BE2ACD" w:rsidRPr="00BE2ACD" w:rsidRDefault="00BE2ACD" w:rsidP="00AD232B">
            <w:pPr>
              <w:shd w:val="clear" w:color="auto" w:fill="FBFAF6"/>
              <w:spacing w:after="150" w:line="288" w:lineRule="atLeast"/>
              <w:rPr>
                <w:rFonts w:ascii="Times New Roman" w:hAnsi="Times New Roman" w:cs="Times New Roman"/>
                <w:b/>
                <w:bCs/>
              </w:rPr>
            </w:pPr>
          </w:p>
          <w:p w:rsidR="00AD232B" w:rsidRPr="00BE2ACD" w:rsidRDefault="00AD232B" w:rsidP="00AD232B">
            <w:pPr>
              <w:shd w:val="clear" w:color="auto" w:fill="FBFAF6"/>
              <w:spacing w:after="150" w:line="288" w:lineRule="atLeast"/>
              <w:rPr>
                <w:rFonts w:ascii="Times New Roman" w:hAnsi="Times New Roman" w:cs="Times New Roman"/>
                <w:b/>
                <w:bCs/>
              </w:rPr>
            </w:pPr>
            <w:r w:rsidRPr="00BE2ACD">
              <w:rPr>
                <w:rFonts w:ascii="Times New Roman" w:hAnsi="Times New Roman" w:cs="Times New Roman"/>
                <w:b/>
                <w:bCs/>
              </w:rPr>
              <w:t>TÍTULO IV - POBLACIÓN CIVIL</w:t>
            </w:r>
            <w:r w:rsidRPr="00BE2ACD">
              <w:rPr>
                <w:rFonts w:ascii="Times New Roman" w:hAnsi="Times New Roman" w:cs="Times New Roman"/>
              </w:rPr>
              <w:t>  </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b/>
                <w:bCs/>
              </w:rPr>
              <w:t xml:space="preserve">Sección III - Trato </w:t>
            </w:r>
            <w:proofErr w:type="gramStart"/>
            <w:r w:rsidRPr="00BE2ACD">
              <w:rPr>
                <w:rFonts w:ascii="Times New Roman" w:hAnsi="Times New Roman" w:cs="Times New Roman"/>
                <w:b/>
                <w:bCs/>
              </w:rPr>
              <w:t>a</w:t>
            </w:r>
            <w:proofErr w:type="gramEnd"/>
            <w:r w:rsidRPr="00BE2ACD">
              <w:rPr>
                <w:rFonts w:ascii="Times New Roman" w:hAnsi="Times New Roman" w:cs="Times New Roman"/>
                <w:b/>
                <w:bCs/>
              </w:rPr>
              <w:t xml:space="preserve"> las personas en poder de una Parte en conflicto</w:t>
            </w:r>
            <w:r w:rsidRPr="00BE2ACD">
              <w:rPr>
                <w:rFonts w:ascii="Times New Roman" w:hAnsi="Times New Roman" w:cs="Times New Roman"/>
              </w:rPr>
              <w:t>  </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b/>
                <w:bCs/>
              </w:rPr>
              <w:t>Capítulo I - Ámbito de aplicación y protección de las personas y de los bienes</w:t>
            </w:r>
            <w:r w:rsidRPr="00BE2ACD">
              <w:rPr>
                <w:rFonts w:ascii="Times New Roman" w:hAnsi="Times New Roman" w:cs="Times New Roman"/>
              </w:rPr>
              <w:t>  </w:t>
            </w:r>
          </w:p>
        </w:tc>
      </w:tr>
    </w:tbl>
    <w:p w:rsid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 </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 </w:t>
      </w:r>
      <w:r w:rsidRPr="00BE2ACD">
        <w:rPr>
          <w:rFonts w:ascii="Times New Roman" w:hAnsi="Times New Roman" w:cs="Times New Roman"/>
          <w:bCs/>
          <w:color w:val="548DD4" w:themeColor="text2" w:themeTint="99"/>
        </w:rPr>
        <w:t>Artículo 74</w:t>
      </w:r>
      <w:r w:rsidRPr="00BE2ACD">
        <w:rPr>
          <w:rFonts w:ascii="Times New Roman" w:hAnsi="Times New Roman" w:cs="Times New Roman"/>
          <w:bCs/>
        </w:rPr>
        <w:t xml:space="preserve"> - Reunión de familias dispersas</w:t>
      </w:r>
      <w:r w:rsidRPr="00BE2ACD">
        <w:rPr>
          <w:rFonts w:ascii="Times New Roman" w:hAnsi="Times New Roman" w:cs="Times New Roman"/>
        </w:rPr>
        <w:t>  </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Las Altas Partes contratantes y las Partes en conflicto facilitarán en toda la medida de lo posible la reunión de las familias que estén dispersas a consecuencia de conflictos armados y alentarán en particular la labor de las organizaciones humanitarias que se dediquen a esta tarea conforme a las disposiciones de los Convenios y del presente Protocolo y de conformidad con sus respectivas normas de seguridad.</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 </w:t>
      </w:r>
      <w:r w:rsidRPr="00BE2ACD">
        <w:rPr>
          <w:rFonts w:ascii="Times New Roman" w:hAnsi="Times New Roman" w:cs="Times New Roman"/>
          <w:color w:val="548DD4" w:themeColor="text2" w:themeTint="99"/>
        </w:rPr>
        <w:t> </w:t>
      </w:r>
      <w:r w:rsidRPr="00BE2ACD">
        <w:rPr>
          <w:rFonts w:ascii="Times New Roman" w:hAnsi="Times New Roman" w:cs="Times New Roman"/>
          <w:bCs/>
          <w:color w:val="548DD4" w:themeColor="text2" w:themeTint="99"/>
        </w:rPr>
        <w:t xml:space="preserve">Artículo 75 </w:t>
      </w:r>
      <w:r w:rsidRPr="00BE2ACD">
        <w:rPr>
          <w:rFonts w:ascii="Times New Roman" w:hAnsi="Times New Roman" w:cs="Times New Roman"/>
          <w:bCs/>
        </w:rPr>
        <w:t>- Garantías fundamentales</w:t>
      </w:r>
      <w:r w:rsidRPr="00BE2ACD">
        <w:rPr>
          <w:rFonts w:ascii="Times New Roman" w:hAnsi="Times New Roman" w:cs="Times New Roman"/>
        </w:rPr>
        <w:t>  </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1. Cuando se encuentren en una de las situaciones a que hace referencia el artículo 1 del presente Protocolo, las personas que estén en poder de una Parte en conflicto y que no disfruten de un trato más favorable en virtud de los Convenios o del presente Protocolo serán tratadas en toda circunstancia con humanidad y se beneficiarán, como mínimo, de la protección prevista en el presente artículo, sin distinción alguna de carácter desfavorable basada en la raza, el color, el sexo, el idioma, la religión o las creencias, las opiniones políticas o de otro género, el origen nacional o social, la fortuna, el nacimiento u otra condición o cualesquiera otros criterios análogos. Cada Parte respetará la persona, el honor, las convicciones y las prácticas religiosas de todas esas personas.</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2. Están y quedarán prohibidos en todo tiempo y lugar los actos siguientes, ya sean realizados por agentes civiles o militares:</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a) los atentados contra la vida, la salud y la integridad física o mental de las personas, en particular:</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i) el homicidio;</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ii) la tortura de cualquier clase, tanto física co mo mental;</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iii) las penas corporales; y</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iv) las mutilaciones;</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b) los atentados contra la dignidad personal, en especial los tratos humillantes y degradantes, la prostitución forzada y cualquier forma de atentado al pudor;</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c) la toma de rehenes;</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d) las penas colectivas; y</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lastRenderedPageBreak/>
        <w:t>e) las amenazas de realizar los actos mencionados.</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3. Toda persona detenida, presa o internada por actos relacionados con el conflicto armado será informada sin demora, en un idioma que comprenda, de las razones que han motivado esas medidas. Salvo en los casos de detención o prisión por una infracción penal, esa persona será liberada lo antes posible y en todo caso en cuanto desaparezcan las circunstancias que hayan justificado la detención, la prisión o el internamiento.</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4. No se impondrá condena ni se ejecutará pena alguna respecto de una persona declarada culpable de una infracción penal relacionada con el conflicto armado, sino en virtud de sentencia de un tribunal imparcial, constituido con arreglo a la ley y que respete los principios generalmente reconocidos para el procedimiento judicial ordinario, y en particular los siguientes:</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a) el procedimiento dispondrá que el acusado sea informado sin demora de los detalles de la infracción que se le atribuya y garantizará al acusado, en las actuaciones que precedan al juicio y en el curso de éste, todos los derechos y medios de defensa necesarios;</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b) nadie podrá ser condenado por una infracción si no es sobre la base de su responsabilidad penal individual;</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c) nadie será acusado o condenado por actos u omisiones que no fueran delictivos según el derecho nacional o internacional que le fuera aplicable en el momento de cometerse. Tampoco se impondrá pena más grave que la aplicable en el momento de cometerse la infracción. Si, con posterioridad a esa infracción, la ley dispusiera la aplicación de una pena más leve, e l infractor se beneficiará de esa disposición;</w:t>
      </w:r>
    </w:p>
    <w:p w:rsidR="00AD232B" w:rsidRPr="00BE2ACD" w:rsidRDefault="00AD232B" w:rsidP="00BE2ACD">
      <w:pPr>
        <w:shd w:val="clear" w:color="auto" w:fill="FBFAF6"/>
        <w:spacing w:after="150" w:line="288" w:lineRule="atLeast"/>
        <w:rPr>
          <w:rFonts w:ascii="Times New Roman" w:hAnsi="Times New Roman" w:cs="Times New Roman"/>
        </w:rPr>
      </w:pPr>
      <w:r w:rsidRPr="00BE2ACD">
        <w:rPr>
          <w:rFonts w:ascii="Times New Roman" w:hAnsi="Times New Roman" w:cs="Times New Roman"/>
        </w:rPr>
        <w:t>d) toda persona acusada de una infracción se presumirá inocente mientras no se pruebe su culpabilidad conforme a la ley;</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e) toda persona acusada de una infracción tendrá derecho a hallarse presente al ser juzgada;</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f) nadie podrá ser obligado a declarar contra sí mismo ni a confesarse culpable;</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g) toda persona acusada de una infracción tendrá derecho a interrogar o hacer interrogar a los testigos de cargo, a obtener la comparecencia de los testigos de descargo y a que éstos sean interrogados en las mismas condiciones que los testigos de cargo;</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h) nadie podrá ser juzgado ni condenado por la misma Parte, de conformidad con la misma legislación y con el mismo procedimiento judicial, por un delito respecto al cual se haya dictado ya una sentencia firme, condenatoria o absolutoria;</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i) toda persona juzgada por una infracción tendrá derecho a que la sentencia sea pronunciada públicamente; y</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j) toda persona condenada será informada, en el momento de su condena, de sus derechos a interponer recurso judicial y de todo tipo, así como de los plazos para ejercer esos derechos.</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5. Las mujeres privadas de libertad por razones relacionadas con el conflicto armado serán custodiadas en locales separados de los ocupados por los hombres. Su vigilancia inmediata estará a cargo de mujeres. No obstante, las familias detenidas o internadas serán alojadas, siempre que sea posible, en un mismo lugar, como unidad familiar.</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6. Las personas detenidas, presas o internadas por razones relacionadas con el conflicto armado disfrutarán de la protección otorgada por el presente artículo, incluso después de la terminación del conflicto armado, hasta el momento de su liberación definitiva, repatriación o reasentamiento.</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7. A fin de evitar toda duda en cuanto al procesamiento y juicio de personas acusadas por crímenes de guerra o crímenes contra la humanidad, se aplicarán los siguientes principios:</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a) las personas acusadas de tales crímenes deberán ser sometidas a procedimiento y juzgadas de conformidad con las normas aplicables del derecho internacional; y</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b) cualquiera de esas personas que no disfrute de un trato más favorable en virtud de los Convenios o del presente Protocolo, recibirá el trato previsto en el presente artículo, independientemente de que los crímenes de que se la acuse constituyan o no infracciones graves de los Convenios o del presente Protocolo.</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8. Ninguna de las disposiciones del presente artículo podrá interpretarse de manera que pueda limitar o infringir cualquier otra disposición más favorable y que ofrezca a las personas comprendidas en el párrafo 1 una mayor protección en virtud de otras normas aplicables del derecho internacional.</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  </w:t>
      </w:r>
      <w:r w:rsidRPr="00BE2ACD">
        <w:rPr>
          <w:rFonts w:ascii="Times New Roman" w:hAnsi="Times New Roman" w:cs="Times New Roman"/>
          <w:bCs/>
          <w:color w:val="548DD4" w:themeColor="text2" w:themeTint="99"/>
        </w:rPr>
        <w:t xml:space="preserve">Artículo 76 </w:t>
      </w:r>
      <w:r w:rsidRPr="00BE2ACD">
        <w:rPr>
          <w:rFonts w:ascii="Times New Roman" w:hAnsi="Times New Roman" w:cs="Times New Roman"/>
          <w:bCs/>
        </w:rPr>
        <w:t>- Protección de las mujeres</w:t>
      </w:r>
      <w:r w:rsidRPr="00BE2ACD">
        <w:rPr>
          <w:rFonts w:ascii="Times New Roman" w:hAnsi="Times New Roman" w:cs="Times New Roman"/>
        </w:rPr>
        <w:t>  </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1. Las mujeres serán objeto de un respecto especial y protegidas en particular contra la violación, la prostitución forzada y cualquier otra forma de atentado al pudor.</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2. Serán atendidos con prioridad absoluta los casos de mujeres encintas y de madres con niños de corta edad a su cargo, que sean arrestadas, detenidas o internadas por razones relacionadas con el conflicto armado.</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3. En toda la medida de lo posible, las Partes en conflicto procurarán evitar la imposición de la pena de muerte a las mujeres encintas o a las madres con niños de corta edad a su cargo por delitos relacionados con el conflicto armado. No se ejecutará la pena de muerte impuesta a esas mujeres por tales delitos.</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  </w:t>
      </w:r>
      <w:r w:rsidRPr="00BE2ACD">
        <w:rPr>
          <w:rFonts w:ascii="Times New Roman" w:hAnsi="Times New Roman" w:cs="Times New Roman"/>
          <w:bCs/>
          <w:color w:val="548DD4" w:themeColor="text2" w:themeTint="99"/>
        </w:rPr>
        <w:t xml:space="preserve">Artículo 77 </w:t>
      </w:r>
      <w:r w:rsidRPr="00BE2ACD">
        <w:rPr>
          <w:rFonts w:ascii="Times New Roman" w:hAnsi="Times New Roman" w:cs="Times New Roman"/>
          <w:bCs/>
        </w:rPr>
        <w:t>- Protección de los niños</w:t>
      </w:r>
      <w:r w:rsidRPr="00BE2ACD">
        <w:rPr>
          <w:rFonts w:ascii="Times New Roman" w:hAnsi="Times New Roman" w:cs="Times New Roman"/>
        </w:rPr>
        <w:t>  </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1. Los niños serán objeto de un respeto especial y se les protegerá contra cualquier forma de atentado al pudor. Las Partes en conflicto les proporcionarán los cuidados y la ayuda que necesiten, por su edad o por cualquier otra razón.</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2. Las Partes en conflicto tomarán todas las medidas posibles para que los niños menores de quince años no participen directamente en las hostilidades, especialmente absteniéndose de reclutarlos para sus fuerzas armadas. Al reclutar personas de más de quince años pero menores de dieciocho años, las Partes en conflicto procurarán alistar en primer lugar a los de más edad.</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3. Si, en casos excepcionales, no obstante las disposiciones del párrafo 2, participaran directamente en las hostilidades niños menores de quince años y cayeran en poder de la Parte adversa, seguirán gozando de la protección especial concedida por el presente artículo, sean o no prisioneros de guerra.</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4. Si fueran arrestados, detenidos o internados por razones relacionadas con el conflicto armado, los niños serán mantenidos en lugares distintos de los destinados a los adultos, excepto en los casos de familias alojadas en unidades familiares en la forma prevista en el párrafo 5 del artículo 75.</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5. No se ejecutará la pena de muerte impuesta por una infracción cometida en relación con el conflicto armado a personas que, en el momento de la infracción, fuesen menores de dieciocho años.</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  </w:t>
      </w:r>
      <w:r w:rsidRPr="00BE2ACD">
        <w:rPr>
          <w:rFonts w:ascii="Times New Roman" w:hAnsi="Times New Roman" w:cs="Times New Roman"/>
          <w:bCs/>
          <w:color w:val="548DD4" w:themeColor="text2" w:themeTint="99"/>
        </w:rPr>
        <w:t xml:space="preserve">Artículo 78 </w:t>
      </w:r>
      <w:r w:rsidRPr="00BE2ACD">
        <w:rPr>
          <w:rFonts w:ascii="Times New Roman" w:hAnsi="Times New Roman" w:cs="Times New Roman"/>
          <w:bCs/>
        </w:rPr>
        <w:t>- Evacuación de los niños</w:t>
      </w:r>
      <w:r w:rsidRPr="00BE2ACD">
        <w:rPr>
          <w:rFonts w:ascii="Times New Roman" w:hAnsi="Times New Roman" w:cs="Times New Roman"/>
        </w:rPr>
        <w:t>  </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1. Ninguna Parte en conflicto dispondrá la evacuación a un país extranjero de niños que no sean nacionales suyos, salvo en caso de evacuación temporal cuando así lo requieran razones imperiosas relacionadas con la salud del niño, su tratamiento médico o, excepto en territorio ocupado, su seguridad. Cu ando pueda encontrarse a los padres o tutores, se requerirá el consentimiento escritos de éstos para la evacuación. Si no se los puede encontrar, se requerirá para esa evacuación el consentimiento escrito de las personas que conforme a la ley o a la costumbre sean los principales responsables de la guarda de los niños. Toda evacuación de esa naturaleza será controlada por la Potencia protectora de acuerdo con las Partes interesadas, es decir, la Parte que organice la evacuación, la Parte que acoja a los niños y las Partes cuyos nacionales sean evacuados. En todos los casos, todas las Partes en el conflicto tomarán las máximas precauciones posibles para no poner en peligro la evacuación.</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2. Cuando se realice una evacuación de conformidad con el párrafo 1, la educación del niño, incluida la educación religiosa y moral que sus padres deseen, se proseguirá con la mayor continuidad posible mientras se halle en el país a donde haya sido evacuado.</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3. Con el fin de facilitar el regreso al seno de su familia y a su país de los niños evacuados de conformidad con este artículo, las autoridades de la Parte que disponga la evacuación y, si procediere, las autoridades del país que los haya acogido harán para cada niño una ficha que enviarán, acompañada de fotografías, a la Agencia Central de Búsqueda del Comité Internacional de la Cruz Roja. Esa ficha contendrá, siempre que sea posible y que no entrañe ningún riesgo de perjuicio para el niño, los datos siguientes:</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a) apellido(s) del niño;</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b) nombre(s) del niño;</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c) sexo del niño;</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d) lugar y fecha de nacimiento (o, si no se sabe la fecha, edad aproximada);</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e) nombre(s) y apellido(s) del padre;</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f) nombre(s) y apellido(s) de la madre y eventualmente su apellido de soltera;</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g) parientes más próximos del niño;</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h) nacionalidad del niño;</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i) lengua vernácula y cualesquiera otras lenguas del niño;</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j) dirección de la familia del niño;</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k) cualquier número que permita la identificación del niño;</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l) estado de salud del niño;</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m) grupo sanguíneo del niño;</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n) señales particulares;</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o) fecha y lugar en que fue encontrado el niño;</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p) fecha y lugar de salida del niño de su país;</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q) religión del niño, si la tiene;</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r) dirección actual del niño en el país que lo haya acogido;</w:t>
      </w:r>
    </w:p>
    <w:p w:rsidR="00AD232B" w:rsidRPr="00BE2ACD" w:rsidRDefault="00AD232B" w:rsidP="00AD232B">
      <w:pPr>
        <w:shd w:val="clear" w:color="auto" w:fill="FBFAF6"/>
        <w:spacing w:after="150" w:line="288" w:lineRule="atLeast"/>
        <w:rPr>
          <w:rFonts w:ascii="Times New Roman" w:hAnsi="Times New Roman" w:cs="Times New Roman"/>
        </w:rPr>
      </w:pPr>
      <w:r w:rsidRPr="00BE2ACD">
        <w:rPr>
          <w:rFonts w:ascii="Times New Roman" w:hAnsi="Times New Roman" w:cs="Times New Roman"/>
        </w:rPr>
        <w:t>s) si el niño falleciera antes de su regreso, fecha, lugar y circunstancias del fallecimiento y lugar donde esté enterrado.</w:t>
      </w:r>
    </w:p>
    <w:p w:rsidR="003C6AB3" w:rsidRPr="00BE2ACD" w:rsidRDefault="00AD232B" w:rsidP="00BE2ACD">
      <w:pPr>
        <w:shd w:val="clear" w:color="auto" w:fill="FBFAF6"/>
        <w:spacing w:after="150" w:line="288" w:lineRule="atLeast"/>
        <w:rPr>
          <w:rFonts w:ascii="Times New Roman" w:hAnsi="Times New Roman" w:cs="Times New Roman"/>
        </w:rPr>
      </w:pPr>
      <w:r w:rsidRPr="00BE2ACD">
        <w:rPr>
          <w:rFonts w:ascii="Times New Roman" w:hAnsi="Times New Roman" w:cs="Times New Roman"/>
        </w:rPr>
        <w:t>  </w:t>
      </w:r>
      <w:bookmarkStart w:id="1" w:name="22"/>
      <w:r w:rsidRPr="00BE2ACD">
        <w:rPr>
          <w:rFonts w:ascii="Times New Roman" w:hAnsi="Times New Roman" w:cs="Times New Roman"/>
        </w:rPr>
        <w:t> </w:t>
      </w:r>
      <w:bookmarkEnd w:id="1"/>
    </w:p>
    <w:sectPr w:rsidR="003C6AB3" w:rsidRPr="00BE2ACD" w:rsidSect="003C6A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32B"/>
    <w:rsid w:val="002D57DC"/>
    <w:rsid w:val="003C6AB3"/>
    <w:rsid w:val="00AD232B"/>
    <w:rsid w:val="00BE2AC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6C1F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AD2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AD2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56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1752</Words>
  <Characters>9638</Characters>
  <Application>Microsoft Macintosh Word</Application>
  <DocSecurity>0</DocSecurity>
  <Lines>80</Lines>
  <Paragraphs>22</Paragraphs>
  <ScaleCrop>false</ScaleCrop>
  <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 TL</dc:creator>
  <cp:keywords/>
  <dc:description/>
  <cp:lastModifiedBy>Mallo TL</cp:lastModifiedBy>
  <cp:revision>1</cp:revision>
  <dcterms:created xsi:type="dcterms:W3CDTF">2013-09-24T07:18:00Z</dcterms:created>
  <dcterms:modified xsi:type="dcterms:W3CDTF">2013-09-24T08:29:00Z</dcterms:modified>
</cp:coreProperties>
</file>