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75" w:rsidRDefault="007C2D75" w:rsidP="007C2D75">
      <w:pPr>
        <w:pStyle w:val="Titre2"/>
        <w:jc w:val="both"/>
        <w:rPr>
          <w:rFonts w:ascii="Cambria" w:eastAsia="SimSun" w:hAnsi="Cambria"/>
          <w:color w:val="800000"/>
          <w:sz w:val="32"/>
          <w:szCs w:val="32"/>
        </w:rPr>
      </w:pPr>
      <w:r>
        <w:rPr>
          <w:rFonts w:ascii="Cambria" w:eastAsia="SimSun" w:hAnsi="Cambria"/>
          <w:color w:val="800000"/>
          <w:sz w:val="32"/>
          <w:szCs w:val="32"/>
        </w:rPr>
        <w:t>Protocole additionnel aux Conventions de Genève du 12 août 1949 relatif à la protection des victimes des conflits armés non internationaux (Protocole II), 8 juin 1977</w:t>
      </w:r>
    </w:p>
    <w:p w:rsidR="007C2D75" w:rsidRDefault="007C2D75" w:rsidP="007C2D75">
      <w:pPr>
        <w:pStyle w:val="Titre2"/>
        <w:jc w:val="both"/>
        <w:rPr>
          <w:rFonts w:ascii="Cambria" w:eastAsia="SimSun" w:hAnsi="Cambria"/>
          <w:sz w:val="32"/>
          <w:szCs w:val="32"/>
        </w:rPr>
      </w:pPr>
      <w:r>
        <w:rPr>
          <w:rFonts w:ascii="Cambria" w:eastAsia="SimSun" w:hAnsi="Cambria"/>
          <w:color w:val="800000"/>
          <w:sz w:val="32"/>
          <w:szCs w:val="32"/>
        </w:rPr>
        <w:t>Article concernant la protection des enfants</w:t>
      </w:r>
    </w:p>
    <w:p w:rsidR="007C2D75" w:rsidRDefault="007C2D75" w:rsidP="007C2D75">
      <w:pPr>
        <w:pStyle w:val="Titre3"/>
        <w:jc w:val="both"/>
        <w:rPr>
          <w:rFonts w:ascii="Calibri" w:eastAsia="SimSun" w:hAnsi="Calibri"/>
          <w:sz w:val="25"/>
          <w:szCs w:val="25"/>
        </w:rPr>
      </w:pPr>
      <w:r>
        <w:rPr>
          <w:rStyle w:val="lev"/>
          <w:rFonts w:ascii="Calibri" w:eastAsia="SimSun" w:hAnsi="Calibri"/>
          <w:color w:val="003366"/>
          <w:sz w:val="25"/>
          <w:szCs w:val="25"/>
        </w:rPr>
        <w:t>Titre II : Traitement humain</w:t>
      </w:r>
    </w:p>
    <w:p w:rsidR="007C2D75" w:rsidRDefault="007C2D75" w:rsidP="007C2D75">
      <w:pPr>
        <w:pStyle w:val="Titre3"/>
        <w:jc w:val="both"/>
        <w:rPr>
          <w:rFonts w:ascii="Calibri" w:eastAsia="SimSun" w:hAnsi="Calibri"/>
          <w:sz w:val="25"/>
          <w:szCs w:val="25"/>
        </w:rPr>
      </w:pPr>
      <w:r>
        <w:rPr>
          <w:rStyle w:val="lev"/>
          <w:rFonts w:ascii="Calibri" w:eastAsia="SimSun" w:hAnsi="Calibri"/>
          <w:color w:val="003366"/>
          <w:sz w:val="25"/>
          <w:szCs w:val="25"/>
        </w:rPr>
        <w:t>Article 4 - Garanties fondamentales</w:t>
      </w:r>
    </w:p>
    <w:p w:rsidR="007C2D75" w:rsidRDefault="007C2D75" w:rsidP="007C2D75">
      <w:pPr>
        <w:pStyle w:val="NormalWeb"/>
        <w:spacing w:line="270" w:lineRule="atLeast"/>
        <w:jc w:val="both"/>
        <w:rPr>
          <w:rFonts w:ascii="Calibri" w:hAnsi="Calibri"/>
        </w:rPr>
      </w:pPr>
      <w:r>
        <w:rPr>
          <w:rFonts w:ascii="Calibri" w:hAnsi="Calibri"/>
        </w:rPr>
        <w:t>1. Toutes les personnes qui ne participent pas directement ou ne participent plus aux hostilités, qu'elles soient ou non privées de liberté, ont droit au respect de leur personne, de leur honneur, de leurs convictions et de leurs pratiques religieuses. Elles seront en toutes circonstances traitées avec humanité, sans aucune distinction de caractère défavorable. Il est interdit d'ordonner qu'il n'y ait pas de survivants.</w:t>
      </w:r>
    </w:p>
    <w:p w:rsidR="007C2D75" w:rsidRDefault="007C2D75" w:rsidP="007C2D75">
      <w:pPr>
        <w:pStyle w:val="NormalWeb"/>
        <w:spacing w:line="270" w:lineRule="atLeast"/>
        <w:jc w:val="both"/>
        <w:rPr>
          <w:rFonts w:ascii="Calibri" w:hAnsi="Calibri"/>
        </w:rPr>
      </w:pPr>
      <w:r>
        <w:rPr>
          <w:rFonts w:ascii="Calibri" w:hAnsi="Calibri"/>
        </w:rPr>
        <w:t>2. Sans préjudice du caractère général des dispositions qui précèdent, sont et demeurent prohibés en tout temps et en tout lieu à l'égard des personnes visées au paragraphe 1 :</w:t>
      </w:r>
    </w:p>
    <w:p w:rsidR="007C2D75" w:rsidRDefault="007C2D75" w:rsidP="007C2D75">
      <w:pPr>
        <w:pStyle w:val="NormalWeb"/>
        <w:spacing w:line="270" w:lineRule="atLeast"/>
        <w:jc w:val="both"/>
        <w:rPr>
          <w:rFonts w:ascii="Calibri" w:hAnsi="Calibri"/>
        </w:rPr>
      </w:pPr>
      <w:r>
        <w:rPr>
          <w:rFonts w:ascii="Calibri" w:hAnsi="Calibri"/>
        </w:rPr>
        <w:t>a) les atteintes portées à la vie, à la santé et au bien-être physique ou mental des personnes, en particulier le meurtre, de même que les traitements cruels tels que la torture, les mutilations ou toutes formes de peines corporelles ;</w:t>
      </w:r>
    </w:p>
    <w:p w:rsidR="007C2D75" w:rsidRDefault="007C2D75" w:rsidP="007C2D75">
      <w:pPr>
        <w:pStyle w:val="NormalWeb"/>
        <w:spacing w:line="270" w:lineRule="atLeast"/>
        <w:jc w:val="both"/>
        <w:rPr>
          <w:rFonts w:ascii="Calibri" w:hAnsi="Calibri"/>
        </w:rPr>
      </w:pPr>
      <w:r>
        <w:rPr>
          <w:rFonts w:ascii="Calibri" w:hAnsi="Calibri"/>
        </w:rPr>
        <w:t>b) les punitions collectives ;</w:t>
      </w:r>
    </w:p>
    <w:p w:rsidR="007C2D75" w:rsidRDefault="007C2D75" w:rsidP="007C2D75">
      <w:pPr>
        <w:pStyle w:val="NormalWeb"/>
        <w:spacing w:line="270" w:lineRule="atLeast"/>
        <w:jc w:val="both"/>
        <w:rPr>
          <w:rFonts w:ascii="Calibri" w:hAnsi="Calibri"/>
        </w:rPr>
      </w:pPr>
      <w:r>
        <w:rPr>
          <w:rFonts w:ascii="Calibri" w:hAnsi="Calibri"/>
        </w:rPr>
        <w:t>c) la prise d'otages ;</w:t>
      </w:r>
    </w:p>
    <w:p w:rsidR="007C2D75" w:rsidRDefault="007C2D75" w:rsidP="007C2D75">
      <w:pPr>
        <w:pStyle w:val="NormalWeb"/>
        <w:spacing w:line="270" w:lineRule="atLeast"/>
        <w:jc w:val="both"/>
        <w:rPr>
          <w:rFonts w:ascii="Calibri" w:hAnsi="Calibri"/>
        </w:rPr>
      </w:pPr>
      <w:r>
        <w:rPr>
          <w:rFonts w:ascii="Calibri" w:hAnsi="Calibri"/>
        </w:rPr>
        <w:t>d) les actes de terrorisme ;</w:t>
      </w:r>
    </w:p>
    <w:p w:rsidR="007C2D75" w:rsidRDefault="007C2D75" w:rsidP="007C2D75">
      <w:pPr>
        <w:pStyle w:val="NormalWeb"/>
        <w:spacing w:line="270" w:lineRule="atLeast"/>
        <w:jc w:val="both"/>
        <w:rPr>
          <w:rFonts w:ascii="Calibri" w:hAnsi="Calibri"/>
        </w:rPr>
      </w:pPr>
      <w:r>
        <w:rPr>
          <w:rFonts w:ascii="Calibri" w:hAnsi="Calibri"/>
        </w:rPr>
        <w:t>e) les atteintes à la dignité de la personne, notamment les traitements humiliants et dégradants, le viol, la contrainte à la prostitution et tout attentat à la pudeur ;</w:t>
      </w:r>
    </w:p>
    <w:p w:rsidR="007C2D75" w:rsidRDefault="007C2D75" w:rsidP="007C2D75">
      <w:pPr>
        <w:pStyle w:val="NormalWeb"/>
        <w:spacing w:line="270" w:lineRule="atLeast"/>
        <w:jc w:val="both"/>
        <w:rPr>
          <w:rFonts w:ascii="Calibri" w:hAnsi="Calibri"/>
        </w:rPr>
      </w:pPr>
      <w:r>
        <w:rPr>
          <w:rFonts w:ascii="Calibri" w:hAnsi="Calibri"/>
        </w:rPr>
        <w:t>f) l'esclavage et la traite des esclaves sous toutes leurs formes ;</w:t>
      </w:r>
    </w:p>
    <w:p w:rsidR="007C2D75" w:rsidRDefault="007C2D75" w:rsidP="007C2D75">
      <w:pPr>
        <w:pStyle w:val="NormalWeb"/>
        <w:spacing w:line="270" w:lineRule="atLeast"/>
        <w:jc w:val="both"/>
        <w:rPr>
          <w:rFonts w:ascii="Calibri" w:hAnsi="Calibri"/>
        </w:rPr>
      </w:pPr>
      <w:r>
        <w:rPr>
          <w:rFonts w:ascii="Calibri" w:hAnsi="Calibri"/>
        </w:rPr>
        <w:t>g) le pillage ;</w:t>
      </w:r>
    </w:p>
    <w:p w:rsidR="007C2D75" w:rsidRDefault="007C2D75" w:rsidP="007C2D75">
      <w:pPr>
        <w:pStyle w:val="NormalWeb"/>
        <w:spacing w:line="270" w:lineRule="atLeast"/>
        <w:jc w:val="both"/>
        <w:rPr>
          <w:rFonts w:ascii="Calibri" w:hAnsi="Calibri"/>
        </w:rPr>
      </w:pPr>
      <w:r>
        <w:rPr>
          <w:rFonts w:ascii="Calibri" w:hAnsi="Calibri"/>
        </w:rPr>
        <w:t>h) la menace de commettre les actes précités.</w:t>
      </w:r>
    </w:p>
    <w:p w:rsidR="007C2D75" w:rsidRDefault="007C2D75" w:rsidP="007C2D75">
      <w:pPr>
        <w:pStyle w:val="NormalWeb"/>
        <w:spacing w:line="270" w:lineRule="atLeast"/>
        <w:jc w:val="both"/>
        <w:rPr>
          <w:rFonts w:ascii="Calibri" w:hAnsi="Calibri"/>
        </w:rPr>
      </w:pPr>
      <w:r>
        <w:rPr>
          <w:rFonts w:ascii="Calibri" w:hAnsi="Calibri"/>
        </w:rPr>
        <w:t>3. Les enfants recevront les soins et l'aide dont ils ont besoin et, notamment :</w:t>
      </w:r>
    </w:p>
    <w:p w:rsidR="007C2D75" w:rsidRDefault="007C2D75" w:rsidP="007C2D75">
      <w:pPr>
        <w:pStyle w:val="NormalWeb"/>
        <w:spacing w:line="270" w:lineRule="atLeast"/>
        <w:jc w:val="both"/>
        <w:rPr>
          <w:rFonts w:ascii="Calibri" w:hAnsi="Calibri"/>
        </w:rPr>
      </w:pPr>
      <w:r>
        <w:rPr>
          <w:rFonts w:ascii="Calibri" w:hAnsi="Calibri"/>
        </w:rPr>
        <w:t>a) ils devront recevoir une éducation, y compris une éducation religieuse et morale, telle que la désirent leurs parents ou, en l'absence de parents, les personnes qui en ont la garde ;</w:t>
      </w:r>
    </w:p>
    <w:p w:rsidR="007C2D75" w:rsidRDefault="007C2D75" w:rsidP="007C2D75">
      <w:pPr>
        <w:pStyle w:val="NormalWeb"/>
        <w:spacing w:line="270" w:lineRule="atLeast"/>
        <w:jc w:val="both"/>
        <w:rPr>
          <w:rFonts w:ascii="Calibri" w:hAnsi="Calibri"/>
        </w:rPr>
      </w:pPr>
      <w:r>
        <w:rPr>
          <w:rFonts w:ascii="Calibri" w:hAnsi="Calibri"/>
        </w:rPr>
        <w:lastRenderedPageBreak/>
        <w:t>b) toutes les mesures appropriées seront prises pour faciliter le regroupement des familles momentanément séparées ;</w:t>
      </w:r>
    </w:p>
    <w:p w:rsidR="007C2D75" w:rsidRDefault="007C2D75" w:rsidP="007C2D75">
      <w:pPr>
        <w:pStyle w:val="NormalWeb"/>
        <w:spacing w:line="270" w:lineRule="atLeast"/>
        <w:jc w:val="both"/>
        <w:rPr>
          <w:rFonts w:ascii="Calibri" w:hAnsi="Calibri"/>
        </w:rPr>
      </w:pPr>
      <w:r>
        <w:rPr>
          <w:rFonts w:ascii="Calibri" w:hAnsi="Calibri"/>
        </w:rPr>
        <w:t>c) les enfants de moins de quinze ans ne devront pas être recrutés dans les forces ou groupes armés, ni autorisés à prendre part aux hostilités ;</w:t>
      </w:r>
    </w:p>
    <w:p w:rsidR="007C2D75" w:rsidRDefault="007C2D75" w:rsidP="007C2D75">
      <w:pPr>
        <w:pStyle w:val="NormalWeb"/>
        <w:spacing w:line="270" w:lineRule="atLeast"/>
        <w:jc w:val="both"/>
        <w:rPr>
          <w:rFonts w:ascii="Calibri" w:hAnsi="Calibri"/>
        </w:rPr>
      </w:pPr>
      <w:r>
        <w:rPr>
          <w:rFonts w:ascii="Calibri" w:hAnsi="Calibri"/>
        </w:rPr>
        <w:t>d) la protection spéciale prévue par le présent article pour les enfants de moins de quinze ans leur restera applicable s'ils prennent directement part aux hostilités en dépit des dispositions de l'alinéa c et sont capturés ;</w:t>
      </w:r>
    </w:p>
    <w:p w:rsidR="007C2D75" w:rsidRDefault="007C2D75" w:rsidP="007C2D75">
      <w:pPr>
        <w:pStyle w:val="NormalWeb"/>
        <w:spacing w:line="270" w:lineRule="atLeast"/>
        <w:jc w:val="both"/>
        <w:rPr>
          <w:rFonts w:ascii="Calibri" w:hAnsi="Calibri"/>
        </w:rPr>
      </w:pPr>
      <w:r>
        <w:rPr>
          <w:rFonts w:ascii="Calibri" w:hAnsi="Calibri"/>
        </w:rPr>
        <w:t>e) des mesures seront prises, si nécessaire et, chaque fois que ce sera possible, avec le consentement des parents ou des personnes qui en ont la garde à titre principal en vertu de la loi ou de la coutume, pour évacuer temporairement les enfants du secteur où des hostilités ont lieu vers un secteur plus sûr du pays, et pour les faire accompagner par des personnes responsables de leur sécurité et de leur bien-être.</w:t>
      </w:r>
    </w:p>
    <w:p w:rsidR="007C2D75" w:rsidRDefault="007C2D75" w:rsidP="007C2D75">
      <w:pPr>
        <w:rPr>
          <w:rFonts w:ascii="Calibri" w:hAnsi="Calibri"/>
        </w:rPr>
      </w:pPr>
    </w:p>
    <w:p w:rsidR="007C2D75" w:rsidRDefault="007C2D75" w:rsidP="007C2D75"/>
    <w:p w:rsidR="00606D83" w:rsidRDefault="00606D83"/>
    <w:sectPr w:rsidR="00606D83" w:rsidSect="009F5BE7">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DB" w:rsidRPr="00DA0216" w:rsidRDefault="007C2D75" w:rsidP="00AC24DB">
    <w:pPr>
      <w:pStyle w:val="Pieddepage"/>
      <w:jc w:val="center"/>
      <w:rPr>
        <w:b/>
        <w:color w:val="548DD4" w:themeColor="text2" w:themeTint="99"/>
        <w:sz w:val="28"/>
        <w:szCs w:val="28"/>
      </w:rPr>
    </w:pPr>
    <w:r>
      <w:rPr>
        <w:b/>
        <w:color w:val="548DD4" w:themeColor="text2" w:themeTint="99"/>
        <w:sz w:val="28"/>
        <w:szCs w:val="28"/>
      </w:rPr>
      <w:t>www.droits-enfant.org</w:t>
    </w:r>
  </w:p>
  <w:p w:rsidR="00AC24DB" w:rsidRDefault="007C2D75">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6D83"/>
    <w:rsid w:val="00606D83"/>
    <w:rsid w:val="007C2D75"/>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75"/>
    <w:pPr>
      <w:spacing w:after="0" w:line="240" w:lineRule="auto"/>
    </w:pPr>
    <w:rPr>
      <w:rFonts w:ascii="Times New Roman" w:eastAsia="SimSun" w:hAnsi="Times New Roman" w:cs="Times New Roman"/>
      <w:sz w:val="24"/>
      <w:szCs w:val="24"/>
      <w:lang w:val="fr-FR" w:eastAsia="zh-CN"/>
    </w:rPr>
  </w:style>
  <w:style w:type="paragraph" w:styleId="Titre2">
    <w:name w:val="heading 2"/>
    <w:basedOn w:val="Normal"/>
    <w:link w:val="Titre2Car"/>
    <w:semiHidden/>
    <w:unhideWhenUsed/>
    <w:qFormat/>
    <w:rsid w:val="007C2D75"/>
    <w:pPr>
      <w:spacing w:after="300" w:line="360" w:lineRule="atLeast"/>
      <w:outlineLvl w:val="1"/>
    </w:pPr>
    <w:rPr>
      <w:rFonts w:eastAsia="Times New Roman"/>
      <w:color w:val="000000"/>
      <w:sz w:val="43"/>
      <w:szCs w:val="43"/>
    </w:rPr>
  </w:style>
  <w:style w:type="paragraph" w:styleId="Titre3">
    <w:name w:val="heading 3"/>
    <w:basedOn w:val="Normal"/>
    <w:link w:val="Titre3Car"/>
    <w:semiHidden/>
    <w:unhideWhenUsed/>
    <w:qFormat/>
    <w:rsid w:val="007C2D75"/>
    <w:pPr>
      <w:spacing w:after="300" w:line="360" w:lineRule="atLeast"/>
      <w:outlineLvl w:val="2"/>
    </w:pPr>
    <w:rPr>
      <w:rFonts w:eastAsia="Times New Roman"/>
      <w:color w:val="000000"/>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C2D75"/>
    <w:rPr>
      <w:rFonts w:ascii="Times New Roman" w:eastAsia="Times New Roman" w:hAnsi="Times New Roman" w:cs="Times New Roman"/>
      <w:color w:val="000000"/>
      <w:sz w:val="43"/>
      <w:szCs w:val="43"/>
      <w:lang w:val="fr-FR" w:eastAsia="zh-CN"/>
    </w:rPr>
  </w:style>
  <w:style w:type="character" w:customStyle="1" w:styleId="Titre3Car">
    <w:name w:val="Titre 3 Car"/>
    <w:basedOn w:val="Policepardfaut"/>
    <w:link w:val="Titre3"/>
    <w:semiHidden/>
    <w:rsid w:val="007C2D75"/>
    <w:rPr>
      <w:rFonts w:ascii="Times New Roman" w:eastAsia="Times New Roman" w:hAnsi="Times New Roman" w:cs="Times New Roman"/>
      <w:color w:val="000000"/>
      <w:sz w:val="34"/>
      <w:szCs w:val="34"/>
      <w:lang w:val="fr-FR" w:eastAsia="zh-CN"/>
    </w:rPr>
  </w:style>
  <w:style w:type="character" w:styleId="lev">
    <w:name w:val="Strong"/>
    <w:basedOn w:val="Policepardfaut"/>
    <w:qFormat/>
    <w:rsid w:val="007C2D75"/>
    <w:rPr>
      <w:b/>
      <w:bCs/>
      <w:color w:val="000000"/>
    </w:rPr>
  </w:style>
  <w:style w:type="paragraph" w:styleId="NormalWeb">
    <w:name w:val="Normal (Web)"/>
    <w:basedOn w:val="Normal"/>
    <w:semiHidden/>
    <w:unhideWhenUsed/>
    <w:rsid w:val="007C2D75"/>
    <w:pPr>
      <w:spacing w:before="100" w:beforeAutospacing="1" w:after="360"/>
    </w:pPr>
  </w:style>
  <w:style w:type="paragraph" w:styleId="Pieddepage">
    <w:name w:val="footer"/>
    <w:basedOn w:val="Normal"/>
    <w:link w:val="PieddepageCar"/>
    <w:uiPriority w:val="99"/>
    <w:unhideWhenUsed/>
    <w:rsid w:val="007C2D75"/>
    <w:pPr>
      <w:tabs>
        <w:tab w:val="center" w:pos="4536"/>
        <w:tab w:val="right" w:pos="9072"/>
      </w:tabs>
    </w:pPr>
  </w:style>
  <w:style w:type="character" w:customStyle="1" w:styleId="PieddepageCar">
    <w:name w:val="Pied de page Car"/>
    <w:basedOn w:val="Policepardfaut"/>
    <w:link w:val="Pieddepage"/>
    <w:uiPriority w:val="99"/>
    <w:rsid w:val="007C2D75"/>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2264</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2010-07-12T07:55:00Z</dcterms:created>
  <dcterms:modified xsi:type="dcterms:W3CDTF">2010-07-12T07:55:00Z</dcterms:modified>
</cp:coreProperties>
</file>